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11">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tab/>
        <w:t xml:space="preserve">The Order Form lists the key roles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Key Roles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w:t>
        <w:tab/>
        <w:t xml:space="preserve">The Supplier shall:</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F">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20">
      <w:pPr>
        <w:ind w:left="720" w:hanging="72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240" w:lineRule="auto"/>
      <w:jc w:val="both"/>
      <w:rPr/>
    </w:pPr>
    <w:r w:rsidDel="00000000" w:rsidR="00000000" w:rsidRPr="00000000">
      <w:rPr>
        <w:rtl w:val="0"/>
      </w:rPr>
      <w:t xml:space="preserve">Ref: RM3830</w:t>
      <w:tab/>
    </w:r>
  </w:p>
  <w:p w:rsidR="00000000" w:rsidDel="00000000" w:rsidP="00000000" w:rsidRDefault="00000000" w:rsidRPr="00000000" w14:paraId="0000002A">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5648325</wp:posOffset>
          </wp:positionH>
          <wp:positionV relativeFrom="paragraph">
            <wp:posOffset>-190498</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7 (Key Staff)</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uekfrIKxB3K4iRrzBawC2Gmnsg==">CgMxLjAyCGguZ2pkZ3hzOAByITE4WlhNS00yY1Vib08xMlMtTVhmOVpEaE1HMnc2RUNZUQ==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